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3E57B">
      <w:pPr>
        <w:widowControl/>
        <w:spacing w:line="600" w:lineRule="exact"/>
        <w:jc w:val="center"/>
        <w:rPr>
          <w:rFonts w:hint="eastAsia" w:eastAsia="方正小标宋_GBK"/>
          <w:bCs/>
          <w:kern w:val="0"/>
          <w:sz w:val="44"/>
          <w:szCs w:val="44"/>
          <w:lang w:eastAsia="zh-CN"/>
        </w:rPr>
      </w:pPr>
      <w:r>
        <w:rPr>
          <w:rFonts w:hint="eastAsia" w:eastAsia="方正小标宋_GBK"/>
          <w:bCs/>
          <w:kern w:val="0"/>
          <w:sz w:val="44"/>
          <w:szCs w:val="44"/>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江永工业集中区</w:t>
      </w:r>
      <w:r>
        <w:rPr>
          <w:rFonts w:hint="eastAsia" w:eastAsia="方正小标宋_GBK"/>
          <w:bCs/>
          <w:kern w:val="0"/>
          <w:sz w:val="44"/>
          <w:szCs w:val="44"/>
          <w:lang w:eastAsia="zh-CN"/>
        </w:rPr>
        <w:t>幼儿园</w:t>
      </w:r>
    </w:p>
    <w:p w14:paraId="2D1FC297">
      <w:pPr>
        <w:widowControl/>
        <w:spacing w:line="600" w:lineRule="exact"/>
        <w:ind w:firstLine="880" w:firstLineChars="200"/>
        <w:jc w:val="center"/>
        <w:rPr>
          <w:rFonts w:hint="eastAsia" w:eastAsia="方正小标宋_GBK"/>
          <w:bCs/>
          <w:kern w:val="0"/>
          <w:sz w:val="36"/>
          <w:szCs w:val="36"/>
          <w:lang w:val="en-US" w:eastAsia="zh-CN"/>
        </w:rPr>
      </w:pP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2D33F0B3">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1FFFD34">
      <w:pPr>
        <w:widowControl/>
        <w:spacing w:line="600" w:lineRule="exact"/>
        <w:ind w:firstLine="643" w:firstLineChars="200"/>
        <w:rPr>
          <w:rFonts w:eastAsia="仿宋_GB2312"/>
          <w:b/>
          <w:bCs/>
          <w:kern w:val="0"/>
          <w:sz w:val="32"/>
          <w:szCs w:val="32"/>
        </w:rPr>
      </w:pPr>
      <w:r>
        <w:rPr>
          <w:rFonts w:eastAsia="仿宋_GB2312"/>
          <w:b/>
          <w:bCs/>
          <w:kern w:val="0"/>
          <w:sz w:val="32"/>
          <w:szCs w:val="32"/>
        </w:rPr>
        <w:t>第一部分</w:t>
      </w:r>
      <w:r>
        <w:rPr>
          <w:rFonts w:hint="eastAsia" w:eastAsia="仿宋_GB2312"/>
          <w:b/>
          <w:bCs/>
          <w:kern w:val="0"/>
          <w:sz w:val="32"/>
          <w:szCs w:val="32"/>
          <w:lang w:val="en-US" w:eastAsia="zh-CN"/>
        </w:rPr>
        <w:t xml:space="preserve">  江永工业集中幼儿园</w:t>
      </w:r>
      <w:r>
        <w:rPr>
          <w:rFonts w:eastAsia="仿宋_GB2312"/>
          <w:b/>
          <w:bCs/>
          <w:kern w:val="0"/>
          <w:sz w:val="32"/>
          <w:szCs w:val="32"/>
        </w:rPr>
        <w:t>部门概况</w:t>
      </w:r>
    </w:p>
    <w:p w14:paraId="1CD92BE6">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6BD39024">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0249126">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742808F8">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608DD709">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7C9A633C">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785ECAB6">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596F38FF">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53E4A731">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53560ADC">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69A25104">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13B2704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433A4F39">
      <w:pPr>
        <w:pStyle w:val="17"/>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46053E56">
      <w:pPr>
        <w:spacing w:line="600" w:lineRule="exact"/>
        <w:ind w:firstLine="640" w:firstLineChars="200"/>
        <w:jc w:val="left"/>
        <w:rPr>
          <w:rFonts w:eastAsia="仿宋_GB2312"/>
          <w:sz w:val="32"/>
          <w:szCs w:val="32"/>
        </w:rPr>
      </w:pPr>
      <w:r>
        <w:rPr>
          <w:rFonts w:eastAsia="仿宋_GB2312"/>
          <w:sz w:val="32"/>
          <w:szCs w:val="32"/>
        </w:rPr>
        <w:t>2、收入决算情况说明</w:t>
      </w:r>
    </w:p>
    <w:p w14:paraId="382EB69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56B4364D">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6AF53CC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1687A9D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42CE75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5554D9C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6BCC778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53A88E52">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60B331B2">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418D0141">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69193C86">
      <w:pPr>
        <w:widowControl/>
        <w:spacing w:line="600" w:lineRule="exact"/>
        <w:ind w:firstLine="720" w:firstLineChars="200"/>
        <w:jc w:val="center"/>
        <w:rPr>
          <w:rFonts w:hint="eastAsia" w:eastAsia="方正小标宋_GBK"/>
          <w:bCs/>
          <w:kern w:val="0"/>
          <w:sz w:val="36"/>
          <w:szCs w:val="36"/>
        </w:rPr>
      </w:pPr>
    </w:p>
    <w:p w14:paraId="4B3AA912">
      <w:pPr>
        <w:widowControl/>
        <w:spacing w:line="600" w:lineRule="exact"/>
        <w:ind w:firstLine="720" w:firstLineChars="200"/>
        <w:jc w:val="center"/>
        <w:rPr>
          <w:rFonts w:hint="eastAsia" w:eastAsia="方正小标宋_GBK"/>
          <w:bCs/>
          <w:kern w:val="0"/>
          <w:sz w:val="36"/>
          <w:szCs w:val="36"/>
        </w:rPr>
      </w:pPr>
    </w:p>
    <w:p w14:paraId="594F41F7">
      <w:pPr>
        <w:widowControl/>
        <w:spacing w:line="600" w:lineRule="exact"/>
        <w:ind w:firstLine="720" w:firstLineChars="200"/>
        <w:jc w:val="center"/>
        <w:rPr>
          <w:rFonts w:hint="eastAsia" w:eastAsia="方正小标宋_GBK"/>
          <w:bCs/>
          <w:kern w:val="0"/>
          <w:sz w:val="36"/>
          <w:szCs w:val="36"/>
        </w:rPr>
      </w:pPr>
    </w:p>
    <w:p w14:paraId="5A939C13">
      <w:pPr>
        <w:widowControl/>
        <w:spacing w:line="600" w:lineRule="exact"/>
        <w:ind w:firstLine="720" w:firstLineChars="200"/>
        <w:jc w:val="center"/>
        <w:rPr>
          <w:rFonts w:hint="eastAsia" w:eastAsia="方正小标宋_GBK"/>
          <w:bCs/>
          <w:kern w:val="0"/>
          <w:sz w:val="36"/>
          <w:szCs w:val="36"/>
        </w:rPr>
      </w:pPr>
    </w:p>
    <w:p w14:paraId="2962C4D7">
      <w:pPr>
        <w:widowControl/>
        <w:spacing w:line="600" w:lineRule="exact"/>
        <w:ind w:firstLine="720" w:firstLineChars="200"/>
        <w:jc w:val="center"/>
        <w:rPr>
          <w:rFonts w:hint="eastAsia" w:eastAsia="方正小标宋_GBK"/>
          <w:bCs/>
          <w:kern w:val="0"/>
          <w:sz w:val="36"/>
          <w:szCs w:val="36"/>
        </w:rPr>
      </w:pPr>
    </w:p>
    <w:p w14:paraId="3E87651A">
      <w:pPr>
        <w:widowControl/>
        <w:spacing w:line="600" w:lineRule="exact"/>
        <w:ind w:firstLine="720" w:firstLineChars="200"/>
        <w:jc w:val="center"/>
        <w:rPr>
          <w:rFonts w:hint="eastAsia" w:eastAsia="方正小标宋_GBK"/>
          <w:bCs/>
          <w:kern w:val="0"/>
          <w:sz w:val="36"/>
          <w:szCs w:val="36"/>
        </w:rPr>
      </w:pPr>
    </w:p>
    <w:p w14:paraId="3227E1CE">
      <w:pPr>
        <w:widowControl/>
        <w:spacing w:line="600" w:lineRule="exact"/>
        <w:ind w:firstLine="720" w:firstLineChars="200"/>
        <w:jc w:val="center"/>
        <w:rPr>
          <w:rFonts w:hint="eastAsia" w:eastAsia="方正小标宋_GBK"/>
          <w:bCs/>
          <w:kern w:val="0"/>
          <w:sz w:val="36"/>
          <w:szCs w:val="36"/>
        </w:rPr>
      </w:pPr>
    </w:p>
    <w:p w14:paraId="65CDDCF7">
      <w:pPr>
        <w:widowControl/>
        <w:spacing w:line="600" w:lineRule="exact"/>
        <w:ind w:firstLine="720" w:firstLineChars="200"/>
        <w:jc w:val="center"/>
        <w:rPr>
          <w:rFonts w:hint="eastAsia" w:eastAsia="方正小标宋_GBK"/>
          <w:bCs/>
          <w:kern w:val="0"/>
          <w:sz w:val="36"/>
          <w:szCs w:val="36"/>
        </w:rPr>
      </w:pPr>
    </w:p>
    <w:p w14:paraId="438111BE">
      <w:pPr>
        <w:widowControl/>
        <w:spacing w:line="600" w:lineRule="exact"/>
        <w:ind w:firstLine="720" w:firstLineChars="200"/>
        <w:jc w:val="center"/>
        <w:rPr>
          <w:rFonts w:hint="eastAsia" w:eastAsia="方正小标宋_GBK"/>
          <w:bCs/>
          <w:kern w:val="0"/>
          <w:sz w:val="36"/>
          <w:szCs w:val="36"/>
        </w:rPr>
      </w:pPr>
    </w:p>
    <w:p w14:paraId="0B01836B">
      <w:pPr>
        <w:widowControl/>
        <w:spacing w:line="600" w:lineRule="exact"/>
        <w:ind w:firstLine="720" w:firstLineChars="200"/>
        <w:jc w:val="center"/>
        <w:rPr>
          <w:rFonts w:hint="eastAsia" w:eastAsia="方正小标宋_GBK"/>
          <w:bCs/>
          <w:kern w:val="0"/>
          <w:sz w:val="36"/>
          <w:szCs w:val="36"/>
        </w:rPr>
      </w:pPr>
    </w:p>
    <w:p w14:paraId="0561D52F">
      <w:pPr>
        <w:widowControl/>
        <w:spacing w:line="600" w:lineRule="exact"/>
        <w:ind w:firstLine="720" w:firstLineChars="200"/>
        <w:jc w:val="center"/>
        <w:rPr>
          <w:rFonts w:hint="eastAsia" w:eastAsia="方正小标宋_GBK"/>
          <w:bCs/>
          <w:kern w:val="0"/>
          <w:sz w:val="36"/>
          <w:szCs w:val="36"/>
        </w:rPr>
      </w:pPr>
    </w:p>
    <w:p w14:paraId="63848C10">
      <w:pPr>
        <w:widowControl/>
        <w:spacing w:line="600" w:lineRule="exact"/>
        <w:ind w:firstLine="720" w:firstLineChars="200"/>
        <w:jc w:val="center"/>
        <w:rPr>
          <w:rFonts w:hint="eastAsia" w:eastAsia="方正小标宋_GBK"/>
          <w:bCs/>
          <w:kern w:val="0"/>
          <w:sz w:val="36"/>
          <w:szCs w:val="36"/>
        </w:rPr>
      </w:pPr>
    </w:p>
    <w:p w14:paraId="24DFE79A">
      <w:pPr>
        <w:widowControl/>
        <w:spacing w:line="600" w:lineRule="exact"/>
        <w:ind w:firstLine="720" w:firstLineChars="200"/>
        <w:jc w:val="center"/>
        <w:rPr>
          <w:rFonts w:hint="eastAsia" w:eastAsia="方正小标宋_GBK"/>
          <w:bCs/>
          <w:kern w:val="0"/>
          <w:sz w:val="36"/>
          <w:szCs w:val="36"/>
        </w:rPr>
      </w:pPr>
    </w:p>
    <w:p w14:paraId="179426D0">
      <w:pPr>
        <w:widowControl/>
        <w:spacing w:line="600" w:lineRule="exact"/>
        <w:ind w:firstLine="720" w:firstLineChars="200"/>
        <w:jc w:val="center"/>
        <w:rPr>
          <w:rFonts w:hint="eastAsia" w:eastAsia="方正小标宋_GBK"/>
          <w:bCs/>
          <w:kern w:val="0"/>
          <w:sz w:val="36"/>
          <w:szCs w:val="36"/>
        </w:rPr>
      </w:pPr>
    </w:p>
    <w:p w14:paraId="32AD1D78">
      <w:pPr>
        <w:widowControl/>
        <w:spacing w:line="600" w:lineRule="exact"/>
        <w:ind w:firstLine="720" w:firstLineChars="200"/>
        <w:jc w:val="center"/>
        <w:rPr>
          <w:rFonts w:hint="eastAsia" w:eastAsia="方正小标宋_GBK"/>
          <w:bCs/>
          <w:kern w:val="0"/>
          <w:sz w:val="36"/>
          <w:szCs w:val="36"/>
        </w:rPr>
      </w:pPr>
    </w:p>
    <w:p w14:paraId="5EEA6490">
      <w:pPr>
        <w:widowControl/>
        <w:spacing w:line="600" w:lineRule="exact"/>
        <w:ind w:firstLine="720" w:firstLineChars="200"/>
        <w:jc w:val="center"/>
        <w:rPr>
          <w:rFonts w:hint="eastAsia" w:eastAsia="方正小标宋_GBK"/>
          <w:bCs/>
          <w:kern w:val="0"/>
          <w:sz w:val="36"/>
          <w:szCs w:val="36"/>
        </w:rPr>
      </w:pPr>
    </w:p>
    <w:p w14:paraId="5DB4E8AB">
      <w:pPr>
        <w:widowControl/>
        <w:spacing w:line="600" w:lineRule="exact"/>
        <w:ind w:firstLine="720" w:firstLineChars="200"/>
        <w:jc w:val="center"/>
        <w:rPr>
          <w:rFonts w:hint="eastAsia" w:eastAsia="方正小标宋_GBK"/>
          <w:bCs/>
          <w:kern w:val="0"/>
          <w:sz w:val="36"/>
          <w:szCs w:val="36"/>
        </w:rPr>
      </w:pPr>
    </w:p>
    <w:p w14:paraId="3A6C79DF">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江永工业集中区幼儿园</w:t>
      </w:r>
      <w:r>
        <w:rPr>
          <w:rFonts w:hint="eastAsia" w:eastAsia="方正小标宋_GBK"/>
          <w:bCs/>
          <w:kern w:val="0"/>
          <w:sz w:val="36"/>
          <w:szCs w:val="36"/>
        </w:rPr>
        <w:t>部门概况</w:t>
      </w:r>
    </w:p>
    <w:p w14:paraId="6DE0147B">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6D7ECA64">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（一）贯彻执行国家教育方针政策，深化教育改革，发展素质教育，稳步提高教育质量，巩固艺术教育特色成果，促进教学教育事业的发展。</w:t>
      </w:r>
    </w:p>
    <w:p w14:paraId="64D42800">
      <w:pPr>
        <w:widowControl/>
        <w:spacing w:line="600" w:lineRule="exact"/>
        <w:ind w:firstLine="643" w:firstLineChars="200"/>
        <w:rPr>
          <w:rFonts w:hint="eastAsia" w:ascii="楷体_GB2312" w:hAnsi="宋体" w:eastAsia="楷体_GB2312"/>
          <w:b/>
          <w:bCs/>
          <w:kern w:val="0"/>
          <w:sz w:val="32"/>
          <w:szCs w:val="32"/>
          <w:lang w:eastAsia="zh-CN"/>
        </w:rPr>
      </w:pPr>
      <w:r>
        <w:rPr>
          <w:rFonts w:hint="eastAsia" w:ascii="楷体_GB2312" w:hAnsi="宋体" w:eastAsia="楷体_GB2312"/>
          <w:b/>
          <w:bCs/>
          <w:kern w:val="0"/>
          <w:sz w:val="32"/>
          <w:szCs w:val="32"/>
          <w:lang w:eastAsia="zh-CN"/>
        </w:rPr>
        <w:t>（二）</w:t>
      </w:r>
      <w:r>
        <w:rPr>
          <w:rFonts w:hint="eastAsia" w:ascii="楷体_GB2312" w:hAnsi="宋体" w:eastAsia="楷体_GB2312"/>
          <w:b/>
          <w:bCs/>
          <w:kern w:val="0"/>
          <w:sz w:val="32"/>
          <w:szCs w:val="32"/>
        </w:rPr>
        <w:t>保障人员经费，提高教师队伍幸福感；管好用好预算内资金，改善和优化学校的办学条件</w:t>
      </w:r>
      <w:r>
        <w:rPr>
          <w:rFonts w:hint="eastAsia" w:ascii="楷体_GB2312" w:hAnsi="宋体" w:eastAsia="楷体_GB2312"/>
          <w:b/>
          <w:bCs/>
          <w:kern w:val="0"/>
          <w:sz w:val="32"/>
          <w:szCs w:val="32"/>
          <w:lang w:eastAsia="zh-CN"/>
        </w:rPr>
        <w:t>。</w:t>
      </w:r>
    </w:p>
    <w:p w14:paraId="7CD344B7">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lang w:eastAsia="zh-CN"/>
        </w:rPr>
        <w:t>（三）</w:t>
      </w:r>
      <w:r>
        <w:rPr>
          <w:rFonts w:hint="eastAsia" w:ascii="楷体_GB2312" w:hAnsi="宋体" w:eastAsia="楷体_GB2312"/>
          <w:b/>
          <w:bCs/>
          <w:kern w:val="0"/>
          <w:sz w:val="32"/>
          <w:szCs w:val="32"/>
        </w:rPr>
        <w:t>促进学生全面发展，把教育教学质量放在首位，办人民满意的教育。</w:t>
      </w:r>
    </w:p>
    <w:p w14:paraId="3FE4E055">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451C7C0D">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val="en-US" w:eastAsia="zh-CN"/>
        </w:rPr>
        <w:t>江永工业集中区</w:t>
      </w:r>
      <w:r>
        <w:rPr>
          <w:rFonts w:hint="eastAsia" w:eastAsia="仿宋_GB2312"/>
          <w:sz w:val="32"/>
          <w:szCs w:val="32"/>
          <w:lang w:eastAsia="zh-CN"/>
        </w:rPr>
        <w:t>幼儿园</w:t>
      </w:r>
      <w:r>
        <w:rPr>
          <w:rFonts w:eastAsia="仿宋_GB2312"/>
          <w:bCs/>
          <w:kern w:val="0"/>
          <w:sz w:val="32"/>
          <w:szCs w:val="32"/>
        </w:rPr>
        <w:t>单位内设机构包括：</w:t>
      </w:r>
      <w:r>
        <w:rPr>
          <w:rFonts w:hint="eastAsia" w:eastAsia="仿宋_GB2312"/>
          <w:bCs/>
          <w:kern w:val="0"/>
          <w:sz w:val="32"/>
          <w:szCs w:val="32"/>
        </w:rPr>
        <w:t>行政部门</w:t>
      </w:r>
      <w:r>
        <w:rPr>
          <w:rFonts w:hint="eastAsia" w:eastAsia="仿宋_GB2312"/>
          <w:bCs/>
          <w:kern w:val="0"/>
          <w:sz w:val="32"/>
          <w:szCs w:val="32"/>
          <w:lang w:eastAsia="zh-CN"/>
        </w:rPr>
        <w:t>、</w:t>
      </w:r>
      <w:r>
        <w:rPr>
          <w:rFonts w:hint="eastAsia" w:eastAsia="仿宋_GB2312"/>
          <w:bCs/>
          <w:kern w:val="0"/>
          <w:sz w:val="32"/>
          <w:szCs w:val="32"/>
        </w:rPr>
        <w:t>办公室</w:t>
      </w:r>
      <w:r>
        <w:rPr>
          <w:rFonts w:hint="eastAsia" w:eastAsia="仿宋_GB2312"/>
          <w:bCs/>
          <w:kern w:val="0"/>
          <w:sz w:val="32"/>
          <w:szCs w:val="32"/>
          <w:lang w:eastAsia="zh-CN"/>
        </w:rPr>
        <w:t>、</w:t>
      </w:r>
      <w:r>
        <w:rPr>
          <w:rFonts w:hint="eastAsia" w:eastAsia="仿宋_GB2312"/>
          <w:bCs/>
          <w:kern w:val="0"/>
          <w:sz w:val="32"/>
          <w:szCs w:val="32"/>
        </w:rPr>
        <w:t>工会</w:t>
      </w:r>
      <w:r>
        <w:rPr>
          <w:rFonts w:hint="eastAsia" w:eastAsia="仿宋_GB2312"/>
          <w:bCs/>
          <w:kern w:val="0"/>
          <w:sz w:val="32"/>
          <w:szCs w:val="32"/>
          <w:lang w:eastAsia="zh-CN"/>
        </w:rPr>
        <w:t>、保教</w:t>
      </w:r>
      <w:r>
        <w:rPr>
          <w:rFonts w:hint="eastAsia" w:eastAsia="仿宋_GB2312"/>
          <w:bCs/>
          <w:kern w:val="0"/>
          <w:sz w:val="32"/>
          <w:szCs w:val="32"/>
        </w:rPr>
        <w:t>部门</w:t>
      </w:r>
      <w:r>
        <w:rPr>
          <w:rFonts w:hint="eastAsia" w:eastAsia="仿宋_GB2312"/>
          <w:bCs/>
          <w:kern w:val="0"/>
          <w:sz w:val="32"/>
          <w:szCs w:val="32"/>
          <w:lang w:eastAsia="zh-CN"/>
        </w:rPr>
        <w:t>、</w:t>
      </w:r>
      <w:r>
        <w:rPr>
          <w:rFonts w:hint="eastAsia" w:eastAsia="仿宋_GB2312"/>
          <w:bCs/>
          <w:kern w:val="0"/>
          <w:sz w:val="32"/>
          <w:szCs w:val="32"/>
        </w:rPr>
        <w:t>后勤办</w:t>
      </w:r>
      <w:r>
        <w:rPr>
          <w:rFonts w:hint="eastAsia" w:eastAsia="仿宋_GB2312"/>
          <w:bCs/>
          <w:kern w:val="0"/>
          <w:sz w:val="32"/>
          <w:szCs w:val="32"/>
          <w:lang w:eastAsia="zh-CN"/>
        </w:rPr>
        <w:t>、</w:t>
      </w:r>
      <w:r>
        <w:rPr>
          <w:rFonts w:hint="eastAsia" w:eastAsia="仿宋_GB2312"/>
          <w:bCs/>
          <w:kern w:val="0"/>
          <w:sz w:val="32"/>
          <w:szCs w:val="32"/>
        </w:rPr>
        <w:t>财务部门</w:t>
      </w:r>
      <w:r>
        <w:rPr>
          <w:rFonts w:hint="eastAsia" w:eastAsia="仿宋_GB2312"/>
          <w:bCs/>
          <w:kern w:val="0"/>
          <w:sz w:val="32"/>
          <w:szCs w:val="32"/>
          <w:lang w:eastAsia="zh-CN"/>
        </w:rPr>
        <w:t>、</w:t>
      </w:r>
      <w:r>
        <w:rPr>
          <w:rFonts w:hint="eastAsia" w:eastAsia="仿宋_GB2312"/>
          <w:bCs/>
          <w:kern w:val="0"/>
          <w:sz w:val="32"/>
          <w:szCs w:val="32"/>
        </w:rPr>
        <w:t>安全部门</w:t>
      </w:r>
      <w:r>
        <w:rPr>
          <w:rFonts w:hint="eastAsia" w:eastAsia="仿宋_GB2312"/>
          <w:bCs/>
          <w:kern w:val="0"/>
          <w:sz w:val="32"/>
          <w:szCs w:val="32"/>
          <w:lang w:eastAsia="zh-CN"/>
        </w:rPr>
        <w:t>。</w:t>
      </w:r>
    </w:p>
    <w:p w14:paraId="74B63669">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sz w:val="32"/>
          <w:szCs w:val="32"/>
          <w:lang w:val="en-US" w:eastAsia="zh-CN"/>
        </w:rPr>
        <w:t>江永工业集中区</w:t>
      </w:r>
      <w:r>
        <w:rPr>
          <w:rFonts w:hint="eastAsia" w:eastAsia="仿宋_GB2312"/>
          <w:sz w:val="32"/>
          <w:szCs w:val="32"/>
          <w:lang w:eastAsia="zh-CN"/>
        </w:rPr>
        <w:t>幼儿园</w:t>
      </w:r>
      <w:r>
        <w:rPr>
          <w:rFonts w:eastAsia="仿宋_GB2312"/>
          <w:bCs/>
          <w:kern w:val="0"/>
          <w:sz w:val="32"/>
          <w:szCs w:val="32"/>
        </w:rPr>
        <w:t>单位</w:t>
      </w:r>
      <w:r>
        <w:rPr>
          <w:rFonts w:hint="eastAsia" w:eastAsia="仿宋_GB2312"/>
          <w:bCs/>
          <w:kern w:val="0"/>
          <w:sz w:val="32"/>
          <w:szCs w:val="32"/>
          <w:lang w:val="en-US" w:eastAsia="zh-CN"/>
        </w:rPr>
        <w:t xml:space="preserve">    </w:t>
      </w:r>
      <w:r>
        <w:rPr>
          <w:rFonts w:eastAsia="仿宋_GB2312"/>
          <w:bCs/>
          <w:kern w:val="0"/>
          <w:sz w:val="32"/>
          <w:szCs w:val="32"/>
        </w:rPr>
        <w:t>年部门决算汇总公开单位构成包括：</w:t>
      </w:r>
      <w:r>
        <w:rPr>
          <w:rFonts w:hint="eastAsia" w:eastAsia="仿宋_GB2312"/>
          <w:sz w:val="32"/>
          <w:szCs w:val="32"/>
          <w:lang w:val="en-US" w:eastAsia="zh-CN"/>
        </w:rPr>
        <w:t>江永工业集中区</w:t>
      </w:r>
      <w:r>
        <w:rPr>
          <w:rFonts w:hint="eastAsia" w:eastAsia="仿宋_GB2312"/>
          <w:sz w:val="32"/>
          <w:szCs w:val="32"/>
          <w:lang w:eastAsia="zh-CN"/>
        </w:rPr>
        <w:t>幼儿园</w:t>
      </w:r>
      <w:r>
        <w:rPr>
          <w:rFonts w:eastAsia="仿宋_GB2312"/>
          <w:bCs/>
          <w:kern w:val="0"/>
          <w:sz w:val="32"/>
          <w:szCs w:val="32"/>
        </w:rPr>
        <w:t>单位本级以及</w:t>
      </w:r>
      <w:r>
        <w:rPr>
          <w:rFonts w:hint="eastAsia" w:eastAsia="仿宋_GB2312"/>
          <w:bCs/>
          <w:kern w:val="0"/>
          <w:sz w:val="32"/>
          <w:szCs w:val="32"/>
        </w:rPr>
        <w:t>财务部门</w:t>
      </w:r>
    </w:p>
    <w:p w14:paraId="0D0D502B">
      <w:pPr>
        <w:widowControl/>
        <w:spacing w:line="600" w:lineRule="exact"/>
        <w:ind w:firstLine="640" w:firstLineChars="200"/>
        <w:rPr>
          <w:rFonts w:eastAsia="仿宋_GB2312"/>
          <w:bCs/>
          <w:kern w:val="0"/>
          <w:sz w:val="32"/>
          <w:szCs w:val="32"/>
        </w:rPr>
      </w:pPr>
    </w:p>
    <w:p w14:paraId="40616FDA">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018EF575">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495771AB">
      <w:pPr>
        <w:widowControl/>
        <w:tabs>
          <w:tab w:val="left" w:pos="7807"/>
        </w:tabs>
        <w:spacing w:line="600" w:lineRule="exact"/>
        <w:ind w:firstLine="720" w:firstLineChars="200"/>
        <w:jc w:val="both"/>
        <w:rPr>
          <w:rFonts w:hint="eastAsia" w:eastAsia="方正小标宋_GBK"/>
          <w:bCs/>
          <w:kern w:val="0"/>
          <w:sz w:val="36"/>
          <w:szCs w:val="36"/>
        </w:rPr>
      </w:pPr>
    </w:p>
    <w:p w14:paraId="17F983F8">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39D6DDC8">
      <w:pPr>
        <w:pStyle w:val="17"/>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3CF8C108">
      <w:pPr>
        <w:pStyle w:val="17"/>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5C0A7D21">
      <w:pPr>
        <w:pStyle w:val="17"/>
        <w:spacing w:line="600" w:lineRule="exact"/>
        <w:ind w:firstLine="640" w:firstLineChars="200"/>
        <w:rPr>
          <w:rFonts w:hAnsi="黑体"/>
          <w:color w:val="000000"/>
          <w:sz w:val="32"/>
          <w:szCs w:val="32"/>
        </w:rPr>
      </w:pPr>
      <w:r>
        <w:rPr>
          <w:rFonts w:hAnsi="黑体"/>
          <w:color w:val="000000"/>
          <w:sz w:val="32"/>
          <w:szCs w:val="32"/>
        </w:rPr>
        <w:t>二、收入决算情况说明</w:t>
      </w:r>
    </w:p>
    <w:p w14:paraId="030757F4">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28E1608">
      <w:pPr>
        <w:pStyle w:val="17"/>
        <w:spacing w:line="600" w:lineRule="exact"/>
        <w:ind w:firstLine="640" w:firstLineChars="200"/>
        <w:rPr>
          <w:rFonts w:hAnsi="黑体"/>
          <w:color w:val="000000"/>
          <w:sz w:val="32"/>
          <w:szCs w:val="32"/>
        </w:rPr>
      </w:pPr>
      <w:r>
        <w:rPr>
          <w:rFonts w:hAnsi="黑体"/>
          <w:color w:val="000000"/>
          <w:sz w:val="32"/>
          <w:szCs w:val="32"/>
        </w:rPr>
        <w:t>三、支出决算情况说明</w:t>
      </w:r>
    </w:p>
    <w:p w14:paraId="304C47BF">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hint="eastAsia" w:ascii="Times New Roman" w:hAnsi="Times New Roman" w:eastAsia="仿宋_GB2312"/>
          <w:color w:val="000000"/>
          <w:sz w:val="32"/>
          <w:szCs w:val="32"/>
          <w:lang w:val="en-US" w:eastAsia="zh-CN"/>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134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92.8</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41</w:t>
      </w:r>
      <w:r>
        <w:rPr>
          <w:rFonts w:ascii="Times New Roman" w:hAnsi="Times New Roman" w:eastAsia="仿宋_GB2312"/>
          <w:color w:val="000000"/>
          <w:sz w:val="32"/>
          <w:szCs w:val="32"/>
        </w:rPr>
        <w:t>%。</w:t>
      </w:r>
    </w:p>
    <w:p w14:paraId="06DE2764">
      <w:pPr>
        <w:pStyle w:val="17"/>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236C2830">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453.6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p>
    <w:p w14:paraId="4E1DD18A">
      <w:pPr>
        <w:pStyle w:val="17"/>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6D5C0E98">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14D5BF6B">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14:paraId="48E1D763">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3D19AE37">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94.53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3.2</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;其他支出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2.8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1.2</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2959A642">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620172C">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3517F6DE">
      <w:pPr>
        <w:pStyle w:val="17"/>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1、教育</w:t>
      </w:r>
      <w:r>
        <w:rPr>
          <w:rFonts w:hint="eastAsia" w:ascii="Times New Roman" w:hAnsi="Times New Roman" w:eastAsia="仿宋_GB2312"/>
          <w:color w:val="000000"/>
          <w:sz w:val="32"/>
          <w:szCs w:val="32"/>
          <w:lang w:eastAsia="zh-CN"/>
        </w:rPr>
        <w:t>类</w:t>
      </w:r>
      <w:r>
        <w:rPr>
          <w:rFonts w:ascii="Times New Roman" w:hAnsi="Times New Roman" w:eastAsia="仿宋_GB2312"/>
          <w:color w:val="000000"/>
          <w:sz w:val="32"/>
          <w:szCs w:val="32"/>
        </w:rPr>
        <w:t>支出。</w:t>
      </w:r>
    </w:p>
    <w:p w14:paraId="12A0C10A">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14:paraId="56F75D06">
      <w:pPr>
        <w:pStyle w:val="17"/>
        <w:numPr>
          <w:ilvl w:val="0"/>
          <w:numId w:val="2"/>
        </w:num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社会保障和就业支出类</w:t>
      </w:r>
    </w:p>
    <w:p w14:paraId="64D92233">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1BE8D2F">
      <w:pPr>
        <w:pStyle w:val="17"/>
        <w:numPr>
          <w:ilvl w:val="0"/>
          <w:numId w:val="2"/>
        </w:num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卫生健康支出类</w:t>
      </w:r>
      <w:r>
        <w:rPr>
          <w:rFonts w:hint="eastAsia" w:ascii="Times New Roman" w:hAnsi="Times New Roman" w:eastAsia="仿宋_GB2312"/>
          <w:color w:val="000000"/>
          <w:sz w:val="32"/>
          <w:szCs w:val="32"/>
          <w:lang w:eastAsia="zh-CN"/>
        </w:rPr>
        <w:t>其他行政事业单位医疗支出职工基本医疗保险缴费</w:t>
      </w:r>
      <w:r>
        <w:rPr>
          <w:rFonts w:ascii="Times New Roman" w:hAnsi="Times New Roman" w:eastAsia="仿宋_GB2312"/>
          <w:color w:val="000000"/>
          <w:sz w:val="32"/>
          <w:szCs w:val="32"/>
        </w:rPr>
        <w:t>。</w:t>
      </w:r>
    </w:p>
    <w:p w14:paraId="17AC51C9">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3.2</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p>
    <w:p w14:paraId="100D3AD3">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4、其他支出类机关事业单位基本养老保险缴费支出</w:t>
      </w:r>
    </w:p>
    <w:p w14:paraId="2E70D74D">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8DC4B91">
      <w:pPr>
        <w:pStyle w:val="17"/>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3441E807">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110</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78.4</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71.27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eastAsia="zh-CN"/>
        </w:rPr>
        <w:t>绩效工资、机关事业单位基本养老保险缴费、职工基本医疗保险缴费、生活补助等</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28.72</w:t>
      </w:r>
      <w:bookmarkStart w:id="0" w:name="_GoBack"/>
      <w:bookmarkEnd w:id="0"/>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w:t>
      </w:r>
      <w:r>
        <w:rPr>
          <w:rFonts w:hint="eastAsia" w:ascii="Times New Roman" w:hAnsi="Times New Roman" w:eastAsia="仿宋_GB2312"/>
          <w:color w:val="000000"/>
          <w:sz w:val="32"/>
          <w:szCs w:val="32"/>
          <w:lang w:eastAsia="zh-CN"/>
        </w:rPr>
        <w:t>劳务费、工会经费、其他商品和服务支出。</w:t>
      </w:r>
    </w:p>
    <w:p w14:paraId="6CC47627">
      <w:pPr>
        <w:pStyle w:val="17"/>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313E7D02">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087A2D2F">
      <w:pPr>
        <w:pStyle w:val="17"/>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0.14</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3D00882">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BC1EEFE">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无</w:t>
      </w:r>
    </w:p>
    <w:p w14:paraId="44790748">
      <w:pPr>
        <w:pStyle w:val="17"/>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0892B8F5">
      <w:pPr>
        <w:pStyle w:val="17"/>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年度本单位无政府性基金收支</w:t>
      </w:r>
      <w:r>
        <w:rPr>
          <w:rFonts w:hint="eastAsia" w:ascii="Times New Roman" w:hAnsi="Times New Roman" w:eastAsia="仿宋_GB2312"/>
          <w:color w:val="000000"/>
          <w:sz w:val="32"/>
          <w:szCs w:val="32"/>
          <w:lang w:eastAsia="zh-CN"/>
        </w:rPr>
        <w:t>。</w:t>
      </w:r>
    </w:p>
    <w:p w14:paraId="0AED35AE">
      <w:pPr>
        <w:pStyle w:val="17"/>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5E11463">
      <w:pPr>
        <w:pStyle w:val="17"/>
        <w:spacing w:line="600" w:lineRule="exact"/>
        <w:ind w:firstLine="643" w:firstLineChars="200"/>
        <w:rPr>
          <w:rFonts w:hint="eastAsia" w:ascii="楷体_GB2312" w:hAnsi="Times New Roman" w:eastAsia="楷体_GB2312"/>
          <w:b/>
          <w:color w:val="000000"/>
          <w:sz w:val="32"/>
          <w:szCs w:val="32"/>
          <w:lang w:eastAsia="zh-CN"/>
        </w:rPr>
      </w:pPr>
      <w:r>
        <w:rPr>
          <w:rFonts w:hint="eastAsia" w:ascii="楷体_GB2312" w:hAnsi="Times New Roman" w:eastAsia="楷体_GB2312"/>
          <w:b/>
          <w:color w:val="000000"/>
          <w:sz w:val="32"/>
          <w:szCs w:val="32"/>
          <w:lang w:eastAsia="zh-CN"/>
        </w:rPr>
        <w:t>（一</w:t>
      </w:r>
      <w:r>
        <w:rPr>
          <w:rFonts w:hint="eastAsia" w:ascii="楷体_GB2312" w:hAnsi="Times New Roman" w:eastAsia="楷体_GB2312"/>
          <w:b/>
          <w:color w:val="000000"/>
          <w:sz w:val="32"/>
          <w:szCs w:val="32"/>
          <w:lang w:val="en-US" w:eastAsia="zh-CN"/>
        </w:rPr>
        <w:t>)</w:t>
      </w:r>
      <w:r>
        <w:rPr>
          <w:rFonts w:hint="eastAsia" w:ascii="楷体_GB2312" w:hAnsi="Times New Roman" w:eastAsia="楷体_GB2312"/>
          <w:b/>
          <w:color w:val="000000"/>
          <w:sz w:val="32"/>
          <w:szCs w:val="32"/>
          <w:lang w:eastAsia="zh-CN"/>
        </w:rPr>
        <w:t>预算绩效管理开展情况</w:t>
      </w:r>
    </w:p>
    <w:p w14:paraId="7459C142">
      <w:pPr>
        <w:pStyle w:val="17"/>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通过加强组织领导、制度建设、流程规范等措施，各地区各部门的预算绩效管理水平得到显著提升，预算绩效管理体系逐步建立健全。</w:t>
      </w:r>
    </w:p>
    <w:p w14:paraId="2386EF0C">
      <w:pPr>
        <w:pStyle w:val="17"/>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lang w:eastAsia="zh-CN"/>
        </w:rPr>
        <w:t>（二）</w:t>
      </w:r>
      <w:r>
        <w:rPr>
          <w:rFonts w:hint="eastAsia" w:ascii="楷体_GB2312" w:hAnsi="Times New Roman" w:eastAsia="楷体_GB2312"/>
          <w:b/>
          <w:color w:val="000000"/>
          <w:sz w:val="32"/>
          <w:szCs w:val="32"/>
        </w:rPr>
        <w:t>绩效目标</w:t>
      </w:r>
    </w:p>
    <w:p w14:paraId="70E6671E">
      <w:pPr>
        <w:pStyle w:val="17"/>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目标1：确保师生在校期间饮食安全。目标2：购置相关仪器设备，保证教学质量。目标3：做好后勤保障管理工作，解决师生后顾之忧，为师生提供良好的教学环境。目标4：完成年初既定学生招生工作。目标5：引进优质教师，开展教师培训工作，建立优质的师资队伍。目标6：合理制定后勤及安全管理工作发展规划和计划，保障学校正常教学秩序、消防安全等。目标7：加强校园基础设施建设，保障学生与教师的校园生活。目标8：做好设施维修工作，确保环境安全。目标9：坚持政治理论学习和业务能力培养,坚持建立正确有效的学校价值体系和文化,创建浓厚的学习氛围。目标10：不断完善和提高学校的整体形象和水平,起引领示范的带头作用</w:t>
      </w:r>
    </w:p>
    <w:p w14:paraId="10C228AA">
      <w:pPr>
        <w:pStyle w:val="17"/>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6C2C59B0">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05EEF130">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226.8</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449DA5A7">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411C7B18">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038FE2D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04DC098B">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w:t>
      </w:r>
      <w:r>
        <w:rPr>
          <w:rFonts w:hint="eastAsia" w:eastAsia="仿宋_GB2312"/>
          <w:kern w:val="0"/>
          <w:sz w:val="32"/>
          <w:szCs w:val="32"/>
          <w:lang w:eastAsia="zh-CN"/>
        </w:rPr>
        <w:t>无</w:t>
      </w:r>
      <w:r>
        <w:rPr>
          <w:rFonts w:eastAsia="仿宋_GB2312"/>
          <w:kern w:val="0"/>
          <w:sz w:val="32"/>
          <w:szCs w:val="32"/>
        </w:rPr>
        <w:t>政府采购支出</w:t>
      </w:r>
      <w:r>
        <w:rPr>
          <w:rFonts w:hint="eastAsia" w:eastAsia="仿宋_GB2312"/>
          <w:kern w:val="0"/>
          <w:sz w:val="32"/>
          <w:szCs w:val="32"/>
          <w:lang w:eastAsia="zh-CN"/>
        </w:rPr>
        <w:t>。</w:t>
      </w:r>
    </w:p>
    <w:p w14:paraId="3BC0142E">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7875839A">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hint="eastAsia" w:eastAsia="仿宋_GB2312"/>
          <w:kern w:val="0"/>
          <w:sz w:val="32"/>
          <w:szCs w:val="32"/>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27BBCEDF">
      <w:pPr>
        <w:spacing w:line="600" w:lineRule="exact"/>
        <w:ind w:firstLine="640" w:firstLineChars="200"/>
        <w:rPr>
          <w:rFonts w:eastAsia="仿宋_GB2312"/>
          <w:kern w:val="0"/>
          <w:sz w:val="32"/>
          <w:szCs w:val="32"/>
        </w:rPr>
      </w:pPr>
    </w:p>
    <w:p w14:paraId="3540AB0F">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78A869D2">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2D432B11">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63BEB330">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37E1B799">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050757BA">
      <w:pPr>
        <w:shd w:val="solid" w:color="FFFFFF" w:fill="auto"/>
        <w:kinsoku/>
        <w:autoSpaceDE/>
        <w:autoSpaceDN w:val="0"/>
        <w:ind w:firstLine="1080" w:firstLineChars="300"/>
        <w:jc w:val="left"/>
        <w:rPr>
          <w:rFonts w:hint="eastAsia" w:eastAsia="方正小标宋_GBK"/>
          <w:bCs/>
          <w:kern w:val="0"/>
          <w:sz w:val="36"/>
          <w:szCs w:val="36"/>
        </w:rPr>
      </w:pPr>
    </w:p>
    <w:p w14:paraId="3525DD51">
      <w:pPr>
        <w:shd w:val="solid" w:color="FFFFFF" w:fill="auto"/>
        <w:kinsoku/>
        <w:autoSpaceDE/>
        <w:autoSpaceDN w:val="0"/>
        <w:ind w:firstLine="1080" w:firstLineChars="300"/>
        <w:jc w:val="left"/>
        <w:rPr>
          <w:rFonts w:hint="eastAsia" w:eastAsia="方正小标宋_GBK"/>
          <w:bCs/>
          <w:kern w:val="0"/>
          <w:sz w:val="36"/>
          <w:szCs w:val="36"/>
        </w:rPr>
      </w:pPr>
    </w:p>
    <w:p w14:paraId="16BE099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1A7DFD2">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DAA29">
    <w:pPr>
      <w:pStyle w:val="12"/>
      <w:tabs>
        <w:tab w:val="clear" w:pos="4153"/>
        <w:tab w:val="clear" w:pos="8306"/>
      </w:tabs>
      <w:ind w:right="280" w:firstLine="360"/>
      <w:jc w:val="right"/>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9</w:t>
    </w:r>
    <w:r>
      <w:rPr>
        <w:rFonts w:ascii="宋体" w:hAnsi="宋体"/>
        <w:sz w:val="28"/>
        <w:szCs w:val="28"/>
      </w:rPr>
      <w:fldChar w:fldCharType="end"/>
    </w:r>
    <w:r>
      <w:rPr>
        <w:rStyle w:val="16"/>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A64BE">
    <w:pPr>
      <w:pStyle w:val="12"/>
      <w:tabs>
        <w:tab w:val="clear" w:pos="4153"/>
        <w:tab w:val="clear" w:pos="8306"/>
      </w:tabs>
      <w:ind w:right="360" w:firstLine="280" w:firstLineChars="100"/>
      <w:rPr>
        <w:rStyle w:val="16"/>
        <w:rFonts w:hint="eastAsia" w:ascii="宋体" w:hAnsi="宋体"/>
        <w:sz w:val="28"/>
        <w:szCs w:val="28"/>
      </w:rPr>
    </w:pPr>
    <w:r>
      <w:rPr>
        <w:rStyle w:val="16"/>
        <w:rFonts w:hint="eastAsia" w:ascii="宋体" w:hAnsi="宋体"/>
        <w:sz w:val="28"/>
        <w:szCs w:val="28"/>
      </w:rPr>
      <w:t>—</w:t>
    </w:r>
    <w:r>
      <w:rPr>
        <w:rFonts w:ascii="宋体" w:hAnsi="宋体"/>
        <w:sz w:val="28"/>
        <w:szCs w:val="28"/>
      </w:rPr>
      <w:fldChar w:fldCharType="begin"/>
    </w:r>
    <w:r>
      <w:rPr>
        <w:rStyle w:val="16"/>
        <w:rFonts w:ascii="宋体" w:hAnsi="宋体"/>
        <w:sz w:val="28"/>
        <w:szCs w:val="28"/>
      </w:rPr>
      <w:instrText xml:space="preserve"> PAGE </w:instrText>
    </w:r>
    <w:r>
      <w:rPr>
        <w:rFonts w:ascii="宋体" w:hAnsi="宋体"/>
        <w:sz w:val="28"/>
        <w:szCs w:val="28"/>
      </w:rPr>
      <w:fldChar w:fldCharType="separate"/>
    </w:r>
    <w:r>
      <w:rPr>
        <w:rStyle w:val="16"/>
        <w:rFonts w:ascii="宋体" w:hAnsi="宋体"/>
        <w:sz w:val="28"/>
        <w:szCs w:val="28"/>
      </w:rPr>
      <w:t>2</w:t>
    </w:r>
    <w:r>
      <w:rPr>
        <w:rFonts w:ascii="宋体" w:hAnsi="宋体"/>
        <w:sz w:val="28"/>
        <w:szCs w:val="28"/>
      </w:rPr>
      <w:fldChar w:fldCharType="end"/>
    </w:r>
    <w:r>
      <w:rPr>
        <w:rStyle w:val="16"/>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7CB69">
    <w:pPr>
      <w:pStyle w:val="14"/>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4DD18ACB"/>
    <w:multiLevelType w:val="singleLevel"/>
    <w:tmpl w:val="4DD18AC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5MjBhNmIzZTBiMTJiYmUwZjFjYjczMzU0YzZlOTcifQ=="/>
  </w:docVars>
  <w:rsids>
    <w:rsidRoot w:val="00000000"/>
    <w:rsid w:val="0FC24482"/>
    <w:rsid w:val="11376319"/>
    <w:rsid w:val="231132FF"/>
    <w:rsid w:val="294018B5"/>
    <w:rsid w:val="35167210"/>
    <w:rsid w:val="38C2711D"/>
    <w:rsid w:val="39033292"/>
    <w:rsid w:val="4A056E6A"/>
    <w:rsid w:val="50041972"/>
    <w:rsid w:val="5E0A01B8"/>
    <w:rsid w:val="64243CD9"/>
    <w:rsid w:val="6C517895"/>
    <w:rsid w:val="6EFC5A5D"/>
    <w:rsid w:val="76943C19"/>
    <w:rsid w:val="7D5125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默认段落字体1"/>
    <w:link w:val="1"/>
    <w:semiHidden/>
    <w:qFormat/>
    <w:uiPriority w:val="0"/>
  </w:style>
  <w:style w:type="table" w:customStyle="1" w:styleId="7">
    <w:name w:val="普通表格1"/>
    <w:qFormat/>
    <w:uiPriority w:val="0"/>
  </w:style>
  <w:style w:type="paragraph" w:customStyle="1" w:styleId="8">
    <w:name w:val="正文文本1"/>
    <w:basedOn w:val="1"/>
    <w:link w:val="9"/>
    <w:qFormat/>
    <w:uiPriority w:val="0"/>
    <w:pPr>
      <w:spacing w:after="120"/>
    </w:pPr>
  </w:style>
  <w:style w:type="character" w:customStyle="1" w:styleId="9">
    <w:name w:val="正文文本 Char Char Char"/>
    <w:link w:val="8"/>
    <w:qFormat/>
    <w:uiPriority w:val="0"/>
    <w:rPr>
      <w:kern w:val="2"/>
      <w:sz w:val="21"/>
      <w:szCs w:val="24"/>
    </w:rPr>
  </w:style>
  <w:style w:type="paragraph" w:customStyle="1" w:styleId="10">
    <w:name w:val="批注框文本1"/>
    <w:basedOn w:val="1"/>
    <w:link w:val="11"/>
    <w:semiHidden/>
    <w:uiPriority w:val="0"/>
    <w:rPr>
      <w:sz w:val="18"/>
      <w:szCs w:val="18"/>
    </w:rPr>
  </w:style>
  <w:style w:type="character" w:customStyle="1" w:styleId="11">
    <w:name w:val="批注框文本 Char Char Char"/>
    <w:link w:val="10"/>
    <w:qFormat/>
    <w:uiPriority w:val="0"/>
    <w:rPr>
      <w:kern w:val="2"/>
      <w:sz w:val="18"/>
      <w:szCs w:val="18"/>
    </w:rPr>
  </w:style>
  <w:style w:type="paragraph" w:customStyle="1" w:styleId="12">
    <w:name w:val="页脚1"/>
    <w:basedOn w:val="1"/>
    <w:link w:val="13"/>
    <w:qFormat/>
    <w:uiPriority w:val="0"/>
    <w:pPr>
      <w:tabs>
        <w:tab w:val="center" w:pos="4153"/>
        <w:tab w:val="right" w:pos="8306"/>
      </w:tabs>
      <w:snapToGrid w:val="0"/>
      <w:jc w:val="left"/>
    </w:pPr>
    <w:rPr>
      <w:sz w:val="18"/>
      <w:szCs w:val="18"/>
    </w:rPr>
  </w:style>
  <w:style w:type="character" w:customStyle="1" w:styleId="13">
    <w:name w:val="页脚 Char Char Char"/>
    <w:link w:val="12"/>
    <w:qFormat/>
    <w:uiPriority w:val="0"/>
    <w:rPr>
      <w:kern w:val="2"/>
      <w:sz w:val="18"/>
      <w:szCs w:val="18"/>
    </w:rPr>
  </w:style>
  <w:style w:type="paragraph" w:customStyle="1" w:styleId="14">
    <w:name w:val="页眉1"/>
    <w:basedOn w:val="1"/>
    <w:link w:val="15"/>
    <w:uiPriority w:val="0"/>
    <w:pPr>
      <w:pBdr>
        <w:bottom w:val="single" w:color="auto" w:sz="6" w:space="1"/>
      </w:pBdr>
      <w:tabs>
        <w:tab w:val="center" w:pos="4153"/>
        <w:tab w:val="right" w:pos="8306"/>
      </w:tabs>
      <w:snapToGrid w:val="0"/>
      <w:jc w:val="center"/>
    </w:pPr>
    <w:rPr>
      <w:sz w:val="18"/>
      <w:szCs w:val="18"/>
    </w:rPr>
  </w:style>
  <w:style w:type="character" w:customStyle="1" w:styleId="15">
    <w:name w:val="页眉 Char Char Char"/>
    <w:link w:val="14"/>
    <w:qFormat/>
    <w:uiPriority w:val="0"/>
    <w:rPr>
      <w:kern w:val="2"/>
      <w:sz w:val="18"/>
      <w:szCs w:val="18"/>
    </w:rPr>
  </w:style>
  <w:style w:type="character" w:customStyle="1" w:styleId="16">
    <w:name w:val="页码1"/>
    <w:basedOn w:val="6"/>
    <w:link w:val="1"/>
    <w:qFormat/>
    <w:uiPriority w:val="0"/>
  </w:style>
  <w:style w:type="paragraph" w:customStyle="1" w:styleId="17">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8">
    <w:name w:val="列出段落"/>
    <w:basedOn w:val="1"/>
    <w:uiPriority w:val="0"/>
    <w:pPr>
      <w:ind w:firstLine="420" w:firstLineChars="200"/>
    </w:pPr>
    <w:rPr>
      <w:rFonts w:ascii="Calibri" w:hAnsi="Calibri" w:eastAsia="宋体"/>
      <w:szCs w:val="22"/>
    </w:rPr>
  </w:style>
  <w:style w:type="paragraph" w:customStyle="1" w:styleId="19">
    <w:name w:val="表格内容"/>
    <w:basedOn w:val="8"/>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2577</Words>
  <Characters>2783</Characters>
  <Lines>0</Lines>
  <Paragraphs>0</Paragraphs>
  <TotalTime>10</TotalTime>
  <ScaleCrop>false</ScaleCrop>
  <LinksUpToDate>false</LinksUpToDate>
  <CharactersWithSpaces>2969</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2024-10-08T02:43:00Z</dcterms:created>
  <dc:creator>C</dc:creator>
  <cp:lastModifiedBy>宸与熙</cp:lastModifiedBy>
  <dcterms:modified xsi:type="dcterms:W3CDTF">2024-10-08T13:05:50Z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6A64DFC7A44344C1B9073E06102AB7F8_13</vt:lpwstr>
  </property>
</Properties>
</file>